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46" w:rsidRDefault="00426446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Default="00FF1DDF" w:rsidP="00CB43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FF1DDF" w:rsidRPr="002C5AD8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5AD8">
        <w:rPr>
          <w:rFonts w:ascii="Times New Roman" w:hAnsi="Times New Roman"/>
          <w:b/>
          <w:sz w:val="32"/>
          <w:szCs w:val="32"/>
        </w:rPr>
        <w:t xml:space="preserve"> Шараповского сельского поселения Западнодвинского района Тверской области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Шараповского сельском поселении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2018-2023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F1DDF" w:rsidRPr="002C5AD8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 w:rsidRPr="002C5AD8">
        <w:rPr>
          <w:rFonts w:ascii="Times New Roman" w:hAnsi="Times New Roman"/>
          <w:b/>
          <w:u w:val="single"/>
        </w:rPr>
        <w:t>д. Шарапово</w:t>
      </w:r>
    </w:p>
    <w:p w:rsidR="00FF1DDF" w:rsidRPr="00655E8C" w:rsidRDefault="00FF1DDF" w:rsidP="00FF1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 w:rsidRPr="005A0EF2">
        <w:rPr>
          <w:rFonts w:ascii="Times New Roman" w:hAnsi="Times New Roman"/>
        </w:rPr>
        <w:lastRenderedPageBreak/>
        <w:t>Паспорт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0D72E5" w:rsidRPr="005A0EF2">
        <w:rPr>
          <w:rFonts w:ascii="Times New Roman" w:hAnsi="Times New Roman"/>
        </w:rPr>
        <w:t xml:space="preserve">городского </w:t>
      </w:r>
      <w:r w:rsidR="00411ED4">
        <w:rPr>
          <w:rFonts w:ascii="Times New Roman" w:hAnsi="Times New Roman"/>
        </w:rPr>
        <w:t xml:space="preserve">Шараповского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411ED4">
              <w:rPr>
                <w:rFonts w:ascii="Times New Roman" w:hAnsi="Times New Roman"/>
              </w:rPr>
              <w:t xml:space="preserve">Шараповском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Подпрограмма 1  "Создание условий для эффективного функционирования исполнительного органа местного самоуправления - администрации </w:t>
            </w:r>
            <w:r w:rsidR="00827A6F">
              <w:rPr>
                <w:rFonts w:ascii="Times New Roman" w:hAnsi="Times New Roman"/>
              </w:rPr>
              <w:t xml:space="preserve">Шараповского сельского </w:t>
            </w:r>
            <w:r w:rsidRPr="005A0EF2">
              <w:rPr>
                <w:rFonts w:ascii="Times New Roman" w:hAnsi="Times New Roman"/>
              </w:rPr>
              <w:t>поселения</w:t>
            </w:r>
            <w:r w:rsidR="00827A6F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CB43A8">
        <w:trPr>
          <w:trHeight w:val="1823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411ED4">
              <w:rPr>
                <w:rFonts w:ascii="Times New Roman" w:hAnsi="Times New Roman"/>
              </w:rPr>
              <w:t xml:space="preserve">Шараповского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 xml:space="preserve">Шараповском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3B385B">
              <w:rPr>
                <w:rFonts w:ascii="Times New Roman" w:hAnsi="Times New Roman"/>
              </w:rPr>
              <w:t xml:space="preserve"> 2145,85</w:t>
            </w:r>
            <w:r w:rsidR="003B4188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тыс. руб., в том числе </w:t>
            </w:r>
            <w:r w:rsidR="00411ED4">
              <w:rPr>
                <w:rFonts w:ascii="Times New Roman" w:hAnsi="Times New Roman"/>
              </w:rPr>
              <w:t>2072,55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411ED4">
              <w:rPr>
                <w:rFonts w:ascii="Times New Roman" w:hAnsi="Times New Roman"/>
              </w:rPr>
              <w:t>2169,6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2096,45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3B4188">
              <w:rPr>
                <w:rFonts w:ascii="Times New Roman" w:hAnsi="Times New Roman"/>
              </w:rPr>
              <w:t>2128,35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2051,55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тыс. руб., в том числе </w:t>
            </w:r>
            <w:r w:rsidR="00CB43A8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2C55C1">
              <w:rPr>
                <w:rFonts w:ascii="Times New Roman" w:hAnsi="Times New Roman"/>
              </w:rPr>
              <w:t>877,35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901,1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859,9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411ED4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411ED4">
              <w:rPr>
                <w:rFonts w:ascii="Times New Roman" w:hAnsi="Times New Roman"/>
              </w:rPr>
              <w:t>1268,5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411ED4">
              <w:rPr>
                <w:rFonts w:ascii="Times New Roman" w:hAnsi="Times New Roman"/>
              </w:rPr>
              <w:t>1268,5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411ED4">
              <w:rPr>
                <w:rFonts w:ascii="Times New Roman" w:hAnsi="Times New Roman"/>
              </w:rPr>
              <w:t>1268,5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41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Подпрограммы 1 муниципальной программы Бенецкого 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</w:t>
            </w:r>
            <w:r>
              <w:rPr>
                <w:rFonts w:ascii="Times New Roman" w:hAnsi="Times New Roman"/>
              </w:rPr>
              <w:lastRenderedPageBreak/>
              <w:t>решения задачи 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lastRenderedPageBreak/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4B4C28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9150C8">
              <w:rPr>
                <w:rFonts w:ascii="Times New Roman" w:hAnsi="Times New Roman"/>
              </w:rPr>
              <w:t xml:space="preserve"> 877,35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804,25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411ED4">
              <w:rPr>
                <w:rFonts w:ascii="Times New Roman" w:hAnsi="Times New Roman"/>
              </w:rPr>
              <w:t>901,1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828,15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411ED4">
              <w:rPr>
                <w:rFonts w:ascii="Times New Roman" w:hAnsi="Times New Roman"/>
              </w:rPr>
              <w:t>859,9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 xml:space="preserve">784,25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411ED4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11ED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t>Подраздел I</w:t>
      </w:r>
    </w:p>
    <w:p w:rsidR="00872A9E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</w:p>
    <w:p w:rsidR="00347580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</w:t>
      </w:r>
      <w:r w:rsidR="00347580"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7103A7">
        <w:rPr>
          <w:rFonts w:ascii="Times New Roman" w:hAnsi="Times New Roman"/>
        </w:rPr>
        <w:t>Шараповского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7103A7">
        <w:rPr>
          <w:rFonts w:ascii="Times New Roman" w:hAnsi="Times New Roman"/>
        </w:rPr>
        <w:t>Шараповского</w:t>
      </w:r>
      <w:r w:rsidR="00D01FF1">
        <w:rPr>
          <w:rFonts w:ascii="Times New Roman" w:hAnsi="Times New Roman"/>
        </w:rPr>
        <w:t xml:space="preserve"> 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7103A7">
        <w:rPr>
          <w:rFonts w:ascii="Times New Roman" w:hAnsi="Times New Roman"/>
        </w:rPr>
        <w:t>Шараповского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7103A7">
        <w:rPr>
          <w:rFonts w:ascii="Times New Roman" w:hAnsi="Times New Roman"/>
        </w:rPr>
        <w:t>Шараповского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</w:t>
      </w:r>
      <w:r w:rsidRPr="00655E8C">
        <w:rPr>
          <w:rFonts w:ascii="Times New Roman" w:hAnsi="Times New Roman"/>
        </w:rPr>
        <w:lastRenderedPageBreak/>
        <w:t xml:space="preserve">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872A9E" w:rsidRPr="00655E8C" w:rsidRDefault="00347580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 xml:space="preserve">реализации 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lastRenderedPageBreak/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  <w:r w:rsidR="007103A7">
        <w:rPr>
          <w:rFonts w:ascii="Times New Roman" w:hAnsi="Times New Roman"/>
        </w:rPr>
        <w:t xml:space="preserve"> </w:t>
      </w:r>
      <w:r w:rsidR="007103A7" w:rsidRPr="005A0EF2">
        <w:rPr>
          <w:rFonts w:ascii="Times New Roman" w:hAnsi="Times New Roman"/>
        </w:rPr>
        <w:t xml:space="preserve">«Повышение уровня функционирования исполнительного органа местного самоуправления  </w:t>
      </w:r>
      <w:r w:rsidR="007103A7">
        <w:rPr>
          <w:rFonts w:ascii="Times New Roman" w:hAnsi="Times New Roman"/>
        </w:rPr>
        <w:t xml:space="preserve">Шараповского </w:t>
      </w:r>
      <w:r w:rsidR="007103A7" w:rsidRPr="005A0EF2">
        <w:rPr>
          <w:rFonts w:ascii="Times New Roman" w:hAnsi="Times New Roman"/>
        </w:rPr>
        <w:t>сельского поселения Западнодвинского района Тверской области».</w:t>
      </w:r>
      <w:r w:rsidRPr="00655E8C">
        <w:rPr>
          <w:rFonts w:ascii="Times New Roman" w:hAnsi="Times New Roman"/>
        </w:rPr>
        <w:t>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сельского </w:t>
      </w:r>
      <w:r w:rsidR="00D01FF1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</w:t>
      </w:r>
      <w:proofErr w:type="spellStart"/>
      <w:r w:rsidR="007103A7">
        <w:rPr>
          <w:rFonts w:ascii="Times New Roman" w:hAnsi="Times New Roman"/>
        </w:rPr>
        <w:t>сельского</w:t>
      </w:r>
      <w:r w:rsidR="00D01FF1">
        <w:rPr>
          <w:rFonts w:ascii="Times New Roman" w:hAnsi="Times New Roman"/>
        </w:rPr>
        <w:t>поселения</w:t>
      </w:r>
      <w:proofErr w:type="spellEnd"/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сельского </w:t>
      </w:r>
      <w:r w:rsidR="006C01B5">
        <w:rPr>
          <w:rFonts w:ascii="Times New Roman" w:hAnsi="Times New Roman"/>
        </w:rPr>
        <w:t>поселения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7609A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</w:t>
      </w:r>
      <w:r w:rsidR="005A058A" w:rsidRPr="00F37BA5">
        <w:rPr>
          <w:rFonts w:ascii="Times New Roman" w:hAnsi="Times New Roman"/>
        </w:rPr>
        <w:t xml:space="preserve">  г) задача </w:t>
      </w:r>
      <w:r w:rsidR="00835D35" w:rsidRPr="00F37BA5">
        <w:rPr>
          <w:rFonts w:ascii="Times New Roman" w:hAnsi="Times New Roman"/>
        </w:rPr>
        <w:t>4</w:t>
      </w:r>
      <w:r w:rsidR="005A058A"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="005A058A"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="005A058A"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="005A058A"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DE03B3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</w:t>
      </w:r>
      <w:proofErr w:type="spellStart"/>
      <w:r w:rsidRPr="00F37BA5">
        <w:rPr>
          <w:rFonts w:ascii="Times New Roman" w:hAnsi="Times New Roman"/>
        </w:rPr>
        <w:t>д</w:t>
      </w:r>
      <w:proofErr w:type="spellEnd"/>
      <w:r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DE03B3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8537D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123C8F" w:rsidRPr="00655E8C" w:rsidRDefault="00675CFB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121FD0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="00004590">
        <w:rPr>
          <w:rFonts w:ascii="Times New Roman" w:hAnsi="Times New Roman"/>
        </w:rPr>
        <w:t>;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 xml:space="preserve">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="00A52BC3" w:rsidRPr="00655E8C">
        <w:rPr>
          <w:rFonts w:ascii="Times New Roman" w:hAnsi="Times New Roman"/>
        </w:rPr>
        <w:t xml:space="preserve"> 1</w:t>
      </w:r>
      <w:r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 администрации </w:t>
      </w:r>
      <w:r w:rsidR="007103A7">
        <w:rPr>
          <w:rFonts w:ascii="Times New Roman" w:hAnsi="Times New Roman"/>
        </w:rPr>
        <w:t xml:space="preserve">Шараповского сельского </w:t>
      </w:r>
      <w:r w:rsidR="00D01FF1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5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</w:t>
      </w:r>
      <w:r w:rsidR="004816C2" w:rsidRPr="00655E8C">
        <w:rPr>
          <w:rFonts w:ascii="Times New Roman" w:hAnsi="Times New Roman"/>
        </w:rPr>
        <w:lastRenderedPageBreak/>
        <w:t>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7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</w:t>
      </w:r>
      <w:r w:rsidR="00A52BC3" w:rsidRPr="00655E8C">
        <w:rPr>
          <w:rFonts w:ascii="Times New Roman" w:hAnsi="Times New Roman"/>
        </w:rPr>
        <w:t xml:space="preserve"> </w:t>
      </w:r>
      <w:r w:rsidR="001920FF"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1E0679" w:rsidRPr="00655E8C">
        <w:rPr>
          <w:rFonts w:ascii="Times New Roman" w:hAnsi="Times New Roman"/>
        </w:rPr>
        <w:t>8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7996" w:rsidRPr="00655E8C" w:rsidRDefault="00EE6BC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20425F" w:rsidRPr="00655E8C" w:rsidRDefault="0020425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3CF5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3" w:name="Par605"/>
      <w:bookmarkEnd w:id="13"/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Глава 3. Объем финансовых ресурсов,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55E8C">
        <w:rPr>
          <w:rFonts w:ascii="Times New Roman" w:hAnsi="Times New Roman"/>
        </w:rPr>
        <w:t>необходимый</w:t>
      </w:r>
      <w:proofErr w:type="gramEnd"/>
      <w:r w:rsidRPr="00655E8C">
        <w:rPr>
          <w:rFonts w:ascii="Times New Roman" w:hAnsi="Times New Roman"/>
        </w:rPr>
        <w:t xml:space="preserve"> для реализации подпрограммы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Шараповского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 w:rsidR="00382844">
        <w:rPr>
          <w:rFonts w:ascii="Times New Roman" w:hAnsi="Times New Roman"/>
        </w:rPr>
        <w:t xml:space="preserve">5219,0 </w:t>
      </w:r>
      <w:r w:rsidRPr="00655E8C">
        <w:rPr>
          <w:rFonts w:ascii="Times New Roman" w:hAnsi="Times New Roman"/>
        </w:rPr>
        <w:t>тыс. руб.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4" w:name="Par611"/>
      <w:bookmarkEnd w:id="14"/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1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992"/>
        <w:gridCol w:w="1134"/>
        <w:gridCol w:w="1134"/>
        <w:gridCol w:w="1134"/>
        <w:gridCol w:w="992"/>
        <w:gridCol w:w="851"/>
        <w:gridCol w:w="952"/>
      </w:tblGrid>
      <w:tr w:rsidR="00D0769C" w:rsidRPr="00655E8C" w:rsidTr="00C3695F">
        <w:trPr>
          <w:trHeight w:val="638"/>
        </w:trPr>
        <w:tc>
          <w:tcPr>
            <w:tcW w:w="3828" w:type="dxa"/>
            <w:vMerge w:val="restart"/>
            <w:vAlign w:val="center"/>
          </w:tcPr>
          <w:p w:rsidR="00D0769C" w:rsidRPr="00655E8C" w:rsidRDefault="00D0769C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  <w:vAlign w:val="center"/>
          </w:tcPr>
          <w:p w:rsidR="00D0769C" w:rsidRPr="00655E8C" w:rsidRDefault="00D0769C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952" w:type="dxa"/>
            <w:tcBorders>
              <w:left w:val="single" w:sz="4" w:space="0" w:color="auto"/>
              <w:bottom w:val="nil"/>
            </w:tcBorders>
            <w:vAlign w:val="center"/>
          </w:tcPr>
          <w:p w:rsidR="00D0769C" w:rsidRPr="00655E8C" w:rsidRDefault="00D0769C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C3695F" w:rsidRPr="00655E8C" w:rsidTr="00C77820">
        <w:tc>
          <w:tcPr>
            <w:tcW w:w="3828" w:type="dxa"/>
            <w:vMerge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Pr="00655E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E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655E8C">
              <w:rPr>
                <w:rFonts w:ascii="Times New Roman" w:hAnsi="Times New Roman"/>
              </w:rPr>
              <w:t xml:space="preserve"> год</w:t>
            </w:r>
          </w:p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99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95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3603,0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193,7</w:t>
            </w: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217,6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95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1107,3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B4C28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95F" w:rsidRDefault="001D2CB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  <w:p w:rsidR="00C3695F" w:rsidRPr="00655E8C" w:rsidRDefault="00C3695F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52" w:type="dxa"/>
            <w:vAlign w:val="center"/>
          </w:tcPr>
          <w:p w:rsidR="00C3695F" w:rsidRPr="00655E8C" w:rsidRDefault="001D2CB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99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4340B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2" w:type="dxa"/>
            <w:vAlign w:val="center"/>
          </w:tcPr>
          <w:p w:rsidR="00C3695F" w:rsidRPr="00655E8C" w:rsidRDefault="004B4C28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695F" w:rsidRPr="00655E8C" w:rsidTr="00C77820">
        <w:tc>
          <w:tcPr>
            <w:tcW w:w="3828" w:type="dxa"/>
          </w:tcPr>
          <w:p w:rsidR="00C3695F" w:rsidRPr="00655E8C" w:rsidRDefault="00C3695F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3695F" w:rsidRPr="00655E8C" w:rsidRDefault="00BE3A17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74,35</w:t>
            </w:r>
          </w:p>
        </w:tc>
        <w:tc>
          <w:tcPr>
            <w:tcW w:w="1134" w:type="dxa"/>
            <w:vAlign w:val="center"/>
          </w:tcPr>
          <w:p w:rsidR="00C3695F" w:rsidRPr="0064340B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72,95</w:t>
            </w:r>
          </w:p>
        </w:tc>
        <w:tc>
          <w:tcPr>
            <w:tcW w:w="1134" w:type="dxa"/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75,65</w:t>
            </w:r>
          </w:p>
        </w:tc>
        <w:tc>
          <w:tcPr>
            <w:tcW w:w="952" w:type="dxa"/>
            <w:vAlign w:val="center"/>
          </w:tcPr>
          <w:p w:rsidR="00C3695F" w:rsidRPr="00655E8C" w:rsidRDefault="00185E36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BE3A17">
              <w:rPr>
                <w:rFonts w:ascii="Times New Roman" w:hAnsi="Times New Roman"/>
              </w:rPr>
              <w:t>9,9</w:t>
            </w:r>
          </w:p>
        </w:tc>
      </w:tr>
      <w:tr w:rsidR="00B12160" w:rsidRPr="00655E8C" w:rsidTr="00C77820">
        <w:trPr>
          <w:trHeight w:val="538"/>
        </w:trPr>
        <w:tc>
          <w:tcPr>
            <w:tcW w:w="3828" w:type="dxa"/>
          </w:tcPr>
          <w:p w:rsidR="00B12160" w:rsidRPr="00655E8C" w:rsidRDefault="00B12160" w:rsidP="004B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992" w:type="dxa"/>
            <w:vAlign w:val="center"/>
          </w:tcPr>
          <w:p w:rsidR="00B12160" w:rsidRPr="00197B1A" w:rsidRDefault="00B1216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C6B03">
              <w:rPr>
                <w:rFonts w:ascii="Times New Roman" w:hAnsi="Times New Roman"/>
              </w:rPr>
              <w:t>77,35</w:t>
            </w:r>
          </w:p>
        </w:tc>
        <w:tc>
          <w:tcPr>
            <w:tcW w:w="1134" w:type="dxa"/>
            <w:vAlign w:val="center"/>
          </w:tcPr>
          <w:p w:rsidR="00B12160" w:rsidRPr="0064340B" w:rsidRDefault="00B1216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901,1</w:t>
            </w:r>
          </w:p>
        </w:tc>
        <w:tc>
          <w:tcPr>
            <w:tcW w:w="1134" w:type="dxa"/>
            <w:vAlign w:val="center"/>
          </w:tcPr>
          <w:p w:rsidR="00B12160" w:rsidRPr="00197B1A" w:rsidRDefault="00B12160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859,85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12160" w:rsidRDefault="00B12160" w:rsidP="00BE3A17">
            <w:pPr>
              <w:jc w:val="center"/>
            </w:pPr>
            <w:r w:rsidRPr="007F2E5E">
              <w:rPr>
                <w:rFonts w:ascii="Times New Roman" w:hAnsi="Times New Roman"/>
              </w:rPr>
              <w:t>859,85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60" w:rsidRDefault="00B12160" w:rsidP="00BE3A17">
            <w:pPr>
              <w:jc w:val="center"/>
            </w:pPr>
            <w:r w:rsidRPr="007F2E5E">
              <w:rPr>
                <w:rFonts w:ascii="Times New Roman" w:hAnsi="Times New Roman"/>
              </w:rPr>
              <w:t>859,85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12160" w:rsidRDefault="00B12160" w:rsidP="00BE3A17">
            <w:pPr>
              <w:jc w:val="center"/>
            </w:pPr>
            <w:r w:rsidRPr="007F2E5E">
              <w:rPr>
                <w:rFonts w:ascii="Times New Roman" w:hAnsi="Times New Roman"/>
              </w:rPr>
              <w:t>859,85</w:t>
            </w:r>
          </w:p>
        </w:tc>
        <w:tc>
          <w:tcPr>
            <w:tcW w:w="952" w:type="dxa"/>
            <w:vAlign w:val="center"/>
          </w:tcPr>
          <w:p w:rsidR="00B12160" w:rsidRPr="00197B1A" w:rsidRDefault="00382844" w:rsidP="00BE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5219,0</w:t>
            </w:r>
          </w:p>
        </w:tc>
      </w:tr>
    </w:tbl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IV</w:t>
      </w:r>
    </w:p>
    <w:p w:rsidR="00D0769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D0769C" w:rsidRPr="00655E8C" w:rsidRDefault="00D0769C" w:rsidP="00D07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769C" w:rsidRDefault="00D0769C" w:rsidP="00D0769C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D0769C" w:rsidRPr="008B0739" w:rsidRDefault="00D0769C" w:rsidP="00D0769C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D0769C" w:rsidRPr="00655E8C" w:rsidRDefault="00D0769C" w:rsidP="00D076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 w:rsidR="001317FA" w:rsidRPr="001317FA">
        <w:rPr>
          <w:rFonts w:ascii="Times New Roman" w:hAnsi="Times New Roman"/>
        </w:rPr>
        <w:t>7611,0</w:t>
      </w:r>
      <w:r w:rsidR="001317FA">
        <w:rPr>
          <w:rFonts w:ascii="Times New Roman" w:hAnsi="Times New Roman"/>
          <w:sz w:val="20"/>
          <w:szCs w:val="20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D0769C" w:rsidRDefault="00D0769C" w:rsidP="00D076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Шараповского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D0769C" w:rsidRPr="00655E8C" w:rsidRDefault="00D0769C" w:rsidP="00D0769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19"/>
        <w:gridCol w:w="992"/>
        <w:gridCol w:w="1134"/>
        <w:gridCol w:w="851"/>
        <w:gridCol w:w="992"/>
        <w:gridCol w:w="850"/>
        <w:gridCol w:w="955"/>
        <w:gridCol w:w="990"/>
      </w:tblGrid>
      <w:tr w:rsidR="00D0769C" w:rsidRPr="00655E8C" w:rsidTr="006D1227">
        <w:trPr>
          <w:trHeight w:val="1275"/>
        </w:trPr>
        <w:tc>
          <w:tcPr>
            <w:tcW w:w="567" w:type="dxa"/>
            <w:vMerge w:val="restart"/>
            <w:vAlign w:val="center"/>
          </w:tcPr>
          <w:p w:rsidR="00D0769C" w:rsidRPr="00655E8C" w:rsidRDefault="00D0769C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E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5E8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55E8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D0769C" w:rsidRPr="00655E8C" w:rsidRDefault="00D0769C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774" w:type="dxa"/>
            <w:gridSpan w:val="6"/>
            <w:tcBorders>
              <w:right w:val="single" w:sz="4" w:space="0" w:color="auto"/>
            </w:tcBorders>
            <w:vAlign w:val="center"/>
          </w:tcPr>
          <w:p w:rsidR="00D0769C" w:rsidRDefault="00D0769C" w:rsidP="004B4C28">
            <w:pPr>
              <w:spacing w:after="0"/>
              <w:jc w:val="center"/>
            </w:pPr>
            <w:r w:rsidRPr="00655E8C">
              <w:t>По годам реализации муниципальной программы,</w:t>
            </w:r>
          </w:p>
          <w:p w:rsidR="00D0769C" w:rsidRPr="00655E8C" w:rsidRDefault="00D0769C" w:rsidP="004B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t>тыс. руб.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D0769C" w:rsidRPr="00655E8C" w:rsidRDefault="00D0769C" w:rsidP="004B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D0769C" w:rsidRPr="00655E8C" w:rsidRDefault="00D0769C" w:rsidP="004B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D0769C" w:rsidRPr="00655E8C" w:rsidRDefault="00D0769C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27" w:rsidRPr="00655E8C" w:rsidTr="001317FA">
        <w:tc>
          <w:tcPr>
            <w:tcW w:w="567" w:type="dxa"/>
            <w:vMerge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1227" w:rsidRPr="00655E8C" w:rsidRDefault="006D1227" w:rsidP="006D1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D1227" w:rsidRPr="00655E8C" w:rsidRDefault="006D1227" w:rsidP="006D1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0" w:type="dxa"/>
            <w:tcBorders>
              <w:top w:val="nil"/>
            </w:tcBorders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227" w:rsidRPr="00655E8C" w:rsidTr="001317FA">
        <w:trPr>
          <w:trHeight w:val="1508"/>
        </w:trPr>
        <w:tc>
          <w:tcPr>
            <w:tcW w:w="567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D1227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Шараповского сельского поселения Западнодвинского района Тверской области</w:t>
            </w:r>
          </w:p>
          <w:p w:rsidR="006D1227" w:rsidRPr="00655E8C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в том числе:</w:t>
            </w:r>
          </w:p>
        </w:tc>
        <w:tc>
          <w:tcPr>
            <w:tcW w:w="992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1134" w:type="dxa"/>
            <w:vAlign w:val="center"/>
          </w:tcPr>
          <w:p w:rsidR="006D1227" w:rsidRPr="0064340B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851" w:type="dxa"/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227" w:rsidRPr="00655E8C" w:rsidRDefault="001317FA" w:rsidP="006D1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</w:t>
            </w:r>
          </w:p>
        </w:tc>
        <w:tc>
          <w:tcPr>
            <w:tcW w:w="990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7611,0</w:t>
            </w:r>
          </w:p>
        </w:tc>
      </w:tr>
      <w:tr w:rsidR="006D1227" w:rsidRPr="00655E8C" w:rsidTr="001317FA">
        <w:tc>
          <w:tcPr>
            <w:tcW w:w="567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92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1134" w:type="dxa"/>
            <w:vAlign w:val="center"/>
          </w:tcPr>
          <w:p w:rsidR="006D1227" w:rsidRPr="0064340B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51" w:type="dxa"/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227" w:rsidRPr="00655E8C" w:rsidRDefault="001317FA" w:rsidP="006D12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990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3370,2</w:t>
            </w:r>
          </w:p>
        </w:tc>
      </w:tr>
      <w:tr w:rsidR="006D1227" w:rsidRPr="00655E8C" w:rsidTr="001317FA">
        <w:trPr>
          <w:trHeight w:val="1660"/>
        </w:trPr>
        <w:tc>
          <w:tcPr>
            <w:tcW w:w="567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</w:tcPr>
          <w:p w:rsidR="006D1227" w:rsidRPr="00655E8C" w:rsidRDefault="006D1227" w:rsidP="004B4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Шараповского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92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1134" w:type="dxa"/>
            <w:vAlign w:val="center"/>
          </w:tcPr>
          <w:p w:rsidR="006D1227" w:rsidRPr="0064340B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851" w:type="dxa"/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227" w:rsidRPr="006D1227" w:rsidRDefault="001317FA" w:rsidP="006D1227"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6D1227" w:rsidRPr="00655E8C" w:rsidRDefault="001317FA" w:rsidP="001317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706,8</w:t>
            </w:r>
          </w:p>
        </w:tc>
        <w:tc>
          <w:tcPr>
            <w:tcW w:w="990" w:type="dxa"/>
            <w:vAlign w:val="center"/>
          </w:tcPr>
          <w:p w:rsidR="006D1227" w:rsidRPr="00655E8C" w:rsidRDefault="001317FA" w:rsidP="001317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4240,8</w:t>
            </w:r>
          </w:p>
        </w:tc>
      </w:tr>
    </w:tbl>
    <w:p w:rsidR="00D0769C" w:rsidRPr="00655E8C" w:rsidRDefault="00D0769C" w:rsidP="00D076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0769C" w:rsidRDefault="00D0769C" w:rsidP="0038451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Шараповского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69C" w:rsidRPr="00655E8C" w:rsidRDefault="00D07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55E8C" w:rsidRDefault="00384511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>
        <w:rPr>
          <w:rFonts w:ascii="Times New Roman" w:hAnsi="Times New Roman"/>
        </w:rPr>
        <w:t xml:space="preserve">Раздел </w:t>
      </w:r>
      <w:r w:rsidR="006A4C5D" w:rsidRPr="00655E8C">
        <w:rPr>
          <w:rFonts w:ascii="Times New Roman" w:hAnsi="Times New Roman"/>
        </w:rPr>
        <w:t>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t>муниципальной программы;</w:t>
      </w:r>
    </w:p>
    <w:p w:rsidR="00C301A8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 xml:space="preserve">согласованности взаимодействия исполнителей </w:t>
      </w:r>
      <w:r w:rsidRPr="00655E8C">
        <w:rPr>
          <w:rFonts w:ascii="Times New Roman" w:hAnsi="Times New Roman"/>
        </w:rPr>
        <w:lastRenderedPageBreak/>
        <w:t>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495A9E">
        <w:rPr>
          <w:rFonts w:ascii="Times New Roman" w:hAnsi="Times New Roman"/>
        </w:rPr>
        <w:t>Бенецкого</w:t>
      </w:r>
      <w:r w:rsidR="00151726">
        <w:rPr>
          <w:rFonts w:ascii="Times New Roman" w:hAnsi="Times New Roman"/>
        </w:rPr>
        <w:t xml:space="preserve"> 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390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. К отчету о реализации муниципальной программы за отчетный финансовый год прилагается </w:t>
      </w:r>
      <w:r w:rsidR="00347580" w:rsidRPr="00655E8C">
        <w:rPr>
          <w:rFonts w:ascii="Times New Roman" w:hAnsi="Times New Roman"/>
        </w:rPr>
        <w:lastRenderedPageBreak/>
        <w:t>пояснительная записка, которая содержит: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с общественными объединениями, в том числе </w:t>
      </w:r>
      <w:proofErr w:type="gramStart"/>
      <w:r w:rsidRPr="00655E8C">
        <w:rPr>
          <w:rFonts w:ascii="Times New Roman" w:hAnsi="Times New Roman"/>
        </w:rPr>
        <w:t>с</w:t>
      </w:r>
      <w:proofErr w:type="gramEnd"/>
      <w:r w:rsidRPr="00655E8C">
        <w:rPr>
          <w:rFonts w:ascii="Times New Roman" w:hAnsi="Times New Roman"/>
        </w:rPr>
        <w:t xml:space="preserve"> социально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347580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3767D"/>
    <w:rsid w:val="000602FD"/>
    <w:rsid w:val="000671E0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B5A13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17FA"/>
    <w:rsid w:val="00133446"/>
    <w:rsid w:val="001350C9"/>
    <w:rsid w:val="00137C8E"/>
    <w:rsid w:val="00151726"/>
    <w:rsid w:val="00152A07"/>
    <w:rsid w:val="0015310A"/>
    <w:rsid w:val="00154F71"/>
    <w:rsid w:val="0016089D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85E36"/>
    <w:rsid w:val="001920FF"/>
    <w:rsid w:val="00197B1A"/>
    <w:rsid w:val="001C0B2D"/>
    <w:rsid w:val="001C1D60"/>
    <w:rsid w:val="001C4708"/>
    <w:rsid w:val="001C6E09"/>
    <w:rsid w:val="001D2CB0"/>
    <w:rsid w:val="001D4C6A"/>
    <w:rsid w:val="001E065F"/>
    <w:rsid w:val="001E0679"/>
    <w:rsid w:val="001E6DFE"/>
    <w:rsid w:val="001F0156"/>
    <w:rsid w:val="001F2EAA"/>
    <w:rsid w:val="001F32CB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05AF"/>
    <w:rsid w:val="002B52BB"/>
    <w:rsid w:val="002C0D9A"/>
    <w:rsid w:val="002C55C1"/>
    <w:rsid w:val="002C6D42"/>
    <w:rsid w:val="002D08E8"/>
    <w:rsid w:val="002E4D4E"/>
    <w:rsid w:val="002F710D"/>
    <w:rsid w:val="00316E1C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82844"/>
    <w:rsid w:val="00384511"/>
    <w:rsid w:val="003973BE"/>
    <w:rsid w:val="003B0EB7"/>
    <w:rsid w:val="003B385B"/>
    <w:rsid w:val="003B4188"/>
    <w:rsid w:val="003B4481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11ED4"/>
    <w:rsid w:val="00416B87"/>
    <w:rsid w:val="0042061D"/>
    <w:rsid w:val="00426446"/>
    <w:rsid w:val="00430177"/>
    <w:rsid w:val="0043171F"/>
    <w:rsid w:val="004363CF"/>
    <w:rsid w:val="00437713"/>
    <w:rsid w:val="00443083"/>
    <w:rsid w:val="0044374A"/>
    <w:rsid w:val="0044539D"/>
    <w:rsid w:val="00446905"/>
    <w:rsid w:val="0045027C"/>
    <w:rsid w:val="00451239"/>
    <w:rsid w:val="004519E1"/>
    <w:rsid w:val="0045466F"/>
    <w:rsid w:val="004615F4"/>
    <w:rsid w:val="0046277B"/>
    <w:rsid w:val="004664F0"/>
    <w:rsid w:val="00470003"/>
    <w:rsid w:val="00470062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4C28"/>
    <w:rsid w:val="004B6756"/>
    <w:rsid w:val="004C71E3"/>
    <w:rsid w:val="004D0F8D"/>
    <w:rsid w:val="004D59C7"/>
    <w:rsid w:val="00501A58"/>
    <w:rsid w:val="00503B6A"/>
    <w:rsid w:val="00505D66"/>
    <w:rsid w:val="00520027"/>
    <w:rsid w:val="00520EBA"/>
    <w:rsid w:val="005263E1"/>
    <w:rsid w:val="005570CD"/>
    <w:rsid w:val="0056360D"/>
    <w:rsid w:val="0056783E"/>
    <w:rsid w:val="0058770E"/>
    <w:rsid w:val="005A058A"/>
    <w:rsid w:val="005A0EF2"/>
    <w:rsid w:val="005A718A"/>
    <w:rsid w:val="005C4CF0"/>
    <w:rsid w:val="005D18F3"/>
    <w:rsid w:val="005D7F0C"/>
    <w:rsid w:val="005E273E"/>
    <w:rsid w:val="005E2C24"/>
    <w:rsid w:val="005E2C41"/>
    <w:rsid w:val="005E7AEE"/>
    <w:rsid w:val="005F347E"/>
    <w:rsid w:val="005F458A"/>
    <w:rsid w:val="00604B8E"/>
    <w:rsid w:val="00611CC2"/>
    <w:rsid w:val="0062770A"/>
    <w:rsid w:val="00641574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87A60"/>
    <w:rsid w:val="006A190E"/>
    <w:rsid w:val="006A498E"/>
    <w:rsid w:val="006A4C5D"/>
    <w:rsid w:val="006B623C"/>
    <w:rsid w:val="006C01B5"/>
    <w:rsid w:val="006C3102"/>
    <w:rsid w:val="006C49DC"/>
    <w:rsid w:val="006C676F"/>
    <w:rsid w:val="006C770F"/>
    <w:rsid w:val="006D0D6D"/>
    <w:rsid w:val="006D1227"/>
    <w:rsid w:val="006D42E0"/>
    <w:rsid w:val="006E1FA1"/>
    <w:rsid w:val="006F02B6"/>
    <w:rsid w:val="007070CF"/>
    <w:rsid w:val="007103A7"/>
    <w:rsid w:val="007105D3"/>
    <w:rsid w:val="00725C0A"/>
    <w:rsid w:val="00737101"/>
    <w:rsid w:val="00744C01"/>
    <w:rsid w:val="007452AF"/>
    <w:rsid w:val="007609AA"/>
    <w:rsid w:val="00761EC2"/>
    <w:rsid w:val="00761F62"/>
    <w:rsid w:val="00766E9C"/>
    <w:rsid w:val="00782721"/>
    <w:rsid w:val="00792B07"/>
    <w:rsid w:val="007A00E0"/>
    <w:rsid w:val="007C7111"/>
    <w:rsid w:val="007E1941"/>
    <w:rsid w:val="007F5722"/>
    <w:rsid w:val="007F638A"/>
    <w:rsid w:val="007F7083"/>
    <w:rsid w:val="007F7797"/>
    <w:rsid w:val="00804CA0"/>
    <w:rsid w:val="00811CC5"/>
    <w:rsid w:val="00812E9B"/>
    <w:rsid w:val="008200B2"/>
    <w:rsid w:val="008204AF"/>
    <w:rsid w:val="00827A6F"/>
    <w:rsid w:val="00830F4E"/>
    <w:rsid w:val="00835D35"/>
    <w:rsid w:val="00840886"/>
    <w:rsid w:val="00856172"/>
    <w:rsid w:val="0085633F"/>
    <w:rsid w:val="00867416"/>
    <w:rsid w:val="00872A9E"/>
    <w:rsid w:val="008911CC"/>
    <w:rsid w:val="008A4FCF"/>
    <w:rsid w:val="008B52F4"/>
    <w:rsid w:val="008B599D"/>
    <w:rsid w:val="008B5A0E"/>
    <w:rsid w:val="008C1997"/>
    <w:rsid w:val="008C5203"/>
    <w:rsid w:val="008D3491"/>
    <w:rsid w:val="008D4397"/>
    <w:rsid w:val="008F51B8"/>
    <w:rsid w:val="008F7DEE"/>
    <w:rsid w:val="00900121"/>
    <w:rsid w:val="00910C78"/>
    <w:rsid w:val="0091217E"/>
    <w:rsid w:val="009150C8"/>
    <w:rsid w:val="00921F8A"/>
    <w:rsid w:val="00923CF5"/>
    <w:rsid w:val="009315E5"/>
    <w:rsid w:val="00937501"/>
    <w:rsid w:val="009402CA"/>
    <w:rsid w:val="00940E6C"/>
    <w:rsid w:val="00941A30"/>
    <w:rsid w:val="0094520D"/>
    <w:rsid w:val="00952297"/>
    <w:rsid w:val="009539FD"/>
    <w:rsid w:val="0095441D"/>
    <w:rsid w:val="009544B6"/>
    <w:rsid w:val="0095768E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F3ECC"/>
    <w:rsid w:val="00A05A0B"/>
    <w:rsid w:val="00A06570"/>
    <w:rsid w:val="00A075B0"/>
    <w:rsid w:val="00A16C16"/>
    <w:rsid w:val="00A274F9"/>
    <w:rsid w:val="00A30491"/>
    <w:rsid w:val="00A423AA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29E5"/>
    <w:rsid w:val="00A93871"/>
    <w:rsid w:val="00A94511"/>
    <w:rsid w:val="00A96541"/>
    <w:rsid w:val="00AB4F1D"/>
    <w:rsid w:val="00AB5384"/>
    <w:rsid w:val="00AC34AD"/>
    <w:rsid w:val="00AC6B03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2160"/>
    <w:rsid w:val="00B133E7"/>
    <w:rsid w:val="00B13B0E"/>
    <w:rsid w:val="00B2380E"/>
    <w:rsid w:val="00B23F22"/>
    <w:rsid w:val="00B250C8"/>
    <w:rsid w:val="00B3742F"/>
    <w:rsid w:val="00B50960"/>
    <w:rsid w:val="00B51C84"/>
    <w:rsid w:val="00B64115"/>
    <w:rsid w:val="00B64BA3"/>
    <w:rsid w:val="00B72829"/>
    <w:rsid w:val="00B72B61"/>
    <w:rsid w:val="00B77D4B"/>
    <w:rsid w:val="00B8636C"/>
    <w:rsid w:val="00BA304B"/>
    <w:rsid w:val="00BB23AB"/>
    <w:rsid w:val="00BC060C"/>
    <w:rsid w:val="00BC0848"/>
    <w:rsid w:val="00BC19A4"/>
    <w:rsid w:val="00BD7E71"/>
    <w:rsid w:val="00BE3A17"/>
    <w:rsid w:val="00BF07EC"/>
    <w:rsid w:val="00C03AB3"/>
    <w:rsid w:val="00C13E5E"/>
    <w:rsid w:val="00C256C5"/>
    <w:rsid w:val="00C301A8"/>
    <w:rsid w:val="00C3287A"/>
    <w:rsid w:val="00C33DB9"/>
    <w:rsid w:val="00C35A77"/>
    <w:rsid w:val="00C3695F"/>
    <w:rsid w:val="00C43C87"/>
    <w:rsid w:val="00C4547C"/>
    <w:rsid w:val="00C45568"/>
    <w:rsid w:val="00C53DBE"/>
    <w:rsid w:val="00C61BD3"/>
    <w:rsid w:val="00C65C6E"/>
    <w:rsid w:val="00C77820"/>
    <w:rsid w:val="00C85E21"/>
    <w:rsid w:val="00C8771E"/>
    <w:rsid w:val="00C959ED"/>
    <w:rsid w:val="00CA1A31"/>
    <w:rsid w:val="00CA3E45"/>
    <w:rsid w:val="00CB0002"/>
    <w:rsid w:val="00CB43A8"/>
    <w:rsid w:val="00CC0557"/>
    <w:rsid w:val="00CC12B0"/>
    <w:rsid w:val="00CD6C9A"/>
    <w:rsid w:val="00CE2120"/>
    <w:rsid w:val="00CE5747"/>
    <w:rsid w:val="00CF4BC4"/>
    <w:rsid w:val="00CF70A3"/>
    <w:rsid w:val="00D01FF1"/>
    <w:rsid w:val="00D0769C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0BF9"/>
    <w:rsid w:val="00D97996"/>
    <w:rsid w:val="00DA0BCE"/>
    <w:rsid w:val="00DA1156"/>
    <w:rsid w:val="00DA2D4A"/>
    <w:rsid w:val="00DB185D"/>
    <w:rsid w:val="00DB1A38"/>
    <w:rsid w:val="00DB35C6"/>
    <w:rsid w:val="00DC40AD"/>
    <w:rsid w:val="00DD19F7"/>
    <w:rsid w:val="00DD5AE4"/>
    <w:rsid w:val="00DE03B3"/>
    <w:rsid w:val="00DE5AC3"/>
    <w:rsid w:val="00DF6288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234E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6CB4"/>
    <w:rsid w:val="00EC22A2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56159"/>
    <w:rsid w:val="00F75876"/>
    <w:rsid w:val="00F8529E"/>
    <w:rsid w:val="00F86F8D"/>
    <w:rsid w:val="00F877CA"/>
    <w:rsid w:val="00F90B18"/>
    <w:rsid w:val="00F96314"/>
    <w:rsid w:val="00FB59A4"/>
    <w:rsid w:val="00FC7BA7"/>
    <w:rsid w:val="00FD5CD1"/>
    <w:rsid w:val="00FE140E"/>
    <w:rsid w:val="00FE1545"/>
    <w:rsid w:val="00FE27F9"/>
    <w:rsid w:val="00FF06FE"/>
    <w:rsid w:val="00FF1DDF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0F39-42EC-418D-9012-EFDFCD9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13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250</cp:revision>
  <cp:lastPrinted>2018-04-27T05:58:00Z</cp:lastPrinted>
  <dcterms:created xsi:type="dcterms:W3CDTF">2013-10-04T06:02:00Z</dcterms:created>
  <dcterms:modified xsi:type="dcterms:W3CDTF">2018-08-09T09:16:00Z</dcterms:modified>
</cp:coreProperties>
</file>